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CADAC" w14:textId="77777777" w:rsidR="001C71F8" w:rsidRPr="00FB74B8" w:rsidRDefault="001C71F8">
      <w:pPr>
        <w:jc w:val="center"/>
        <w:rPr>
          <w:rFonts w:ascii="Calligraph421 BT" w:hAnsi="Calligraph421 BT" w:cs="Calligraph421 BT"/>
          <w:sz w:val="96"/>
          <w:szCs w:val="96"/>
        </w:rPr>
      </w:pPr>
      <w:r w:rsidRPr="00FB74B8">
        <w:rPr>
          <w:rFonts w:ascii="Calligraph421 BT" w:hAnsi="Calligraph421 BT" w:cs="Calligraph421 BT"/>
          <w:sz w:val="96"/>
          <w:szCs w:val="96"/>
        </w:rPr>
        <w:t>Mantra Cantata</w:t>
      </w:r>
    </w:p>
    <w:p w14:paraId="28AF7102" w14:textId="386ECCEF" w:rsidR="001C71F8" w:rsidRDefault="001C71F8">
      <w:pPr>
        <w:jc w:val="center"/>
        <w:rPr>
          <w:rFonts w:ascii="Calligraph421 BT" w:hAnsi="Calligraph421 BT" w:cs="Calligraph421 BT"/>
        </w:rPr>
      </w:pPr>
      <w:r>
        <w:rPr>
          <w:rFonts w:ascii="Calligraph421 BT" w:hAnsi="Calligraph421 BT" w:cs="Calligraph421 BT"/>
          <w:sz w:val="44"/>
          <w:szCs w:val="44"/>
        </w:rPr>
        <w:t>for SATB Chorus and Orchestra</w:t>
      </w:r>
    </w:p>
    <w:p w14:paraId="6D8F252D" w14:textId="77777777" w:rsidR="001C71F8" w:rsidRDefault="001C71F8">
      <w:pPr>
        <w:jc w:val="center"/>
        <w:rPr>
          <w:rFonts w:ascii="Calligraph421 BT" w:hAnsi="Calligraph421 BT" w:cs="Calligraph421 BT"/>
        </w:rPr>
      </w:pPr>
    </w:p>
    <w:p w14:paraId="27922C2E" w14:textId="77777777" w:rsidR="001C71F8" w:rsidRDefault="001C71F8">
      <w:pPr>
        <w:jc w:val="center"/>
        <w:rPr>
          <w:rFonts w:ascii="Calligraph421 BT" w:hAnsi="Calligraph421 BT" w:cs="Calligraph421 BT"/>
        </w:rPr>
      </w:pPr>
      <w:r>
        <w:rPr>
          <w:rFonts w:ascii="Calligraph421 BT" w:hAnsi="Calligraph421 BT" w:cs="Calligraph421 BT"/>
        </w:rPr>
        <w:t xml:space="preserve">Nov. 16, ‘08—Nov. 25, ’09  (with two months doing other things)    </w:t>
      </w:r>
    </w:p>
    <w:p w14:paraId="2DB5ABDE" w14:textId="77777777" w:rsidR="001C71F8" w:rsidRDefault="001C71F8">
      <w:pPr>
        <w:jc w:val="center"/>
        <w:rPr>
          <w:rFonts w:ascii="Calligraph421 BT" w:hAnsi="Calligraph421 BT" w:cs="Calligraph421 BT"/>
        </w:rPr>
      </w:pPr>
      <w:r>
        <w:rPr>
          <w:rFonts w:ascii="Calligraph421 BT" w:hAnsi="Calligraph421 BT" w:cs="Calligraph421 BT"/>
        </w:rPr>
        <w:t xml:space="preserve">Duration: about 32 minutes          Cover photo: Kusum </w:t>
      </w:r>
      <w:proofErr w:type="spellStart"/>
      <w:r>
        <w:rPr>
          <w:rFonts w:ascii="Calligraph421 BT" w:hAnsi="Calligraph421 BT" w:cs="Calligraph421 BT"/>
        </w:rPr>
        <w:t>Sarovara</w:t>
      </w:r>
      <w:proofErr w:type="spellEnd"/>
      <w:r>
        <w:rPr>
          <w:rFonts w:ascii="Calligraph421 BT" w:hAnsi="Calligraph421 BT" w:cs="Calligraph421 BT"/>
        </w:rPr>
        <w:t>, near Vrindavana</w:t>
      </w:r>
    </w:p>
    <w:p w14:paraId="2D8F1E3E" w14:textId="77777777" w:rsidR="001C71F8" w:rsidRDefault="001C71F8">
      <w:pPr>
        <w:jc w:val="center"/>
        <w:rPr>
          <w:rFonts w:ascii="Calligraph421 BT" w:hAnsi="Calligraph421 BT" w:cs="Calligraph421 BT"/>
        </w:rPr>
      </w:pPr>
      <w:r>
        <w:rPr>
          <w:rFonts w:ascii="Calligraph421 BT" w:hAnsi="Calligraph421 BT" w:cs="Calligraph421 BT"/>
        </w:rPr>
        <w:t>In memory of my sister Akanda, and my guru Neem Karoli Baba</w:t>
      </w:r>
    </w:p>
    <w:p w14:paraId="66880C02" w14:textId="77777777" w:rsidR="001C71F8" w:rsidRDefault="001C71F8">
      <w:pPr>
        <w:jc w:val="center"/>
        <w:rPr>
          <w:rFonts w:ascii="Calligraph421 BT" w:hAnsi="Calligraph421 BT" w:cs="Calligraph421 BT"/>
        </w:rPr>
      </w:pPr>
    </w:p>
    <w:p w14:paraId="0C41A09E" w14:textId="77777777" w:rsidR="001C71F8" w:rsidRDefault="001C71F8">
      <w:pPr>
        <w:jc w:val="both"/>
        <w:rPr>
          <w:rFonts w:ascii="Calligraph421 BT" w:hAnsi="Calligraph421 BT" w:cs="Calligraph421 BT"/>
        </w:rPr>
      </w:pPr>
      <w:r>
        <w:rPr>
          <w:rFonts w:ascii="Calligraph421 BT" w:hAnsi="Calligraph421 BT" w:cs="Calligraph421 BT"/>
          <w:b/>
        </w:rPr>
        <w:t xml:space="preserve"> Program Notes</w:t>
      </w:r>
    </w:p>
    <w:p w14:paraId="4CBB727D" w14:textId="77777777" w:rsidR="001C71F8" w:rsidRDefault="001C71F8">
      <w:pPr>
        <w:ind w:firstLine="720"/>
        <w:jc w:val="both"/>
        <w:rPr>
          <w:rFonts w:ascii="Calligraph421 BT" w:hAnsi="Calligraph421 BT" w:cs="Calligraph421 BT"/>
        </w:rPr>
      </w:pPr>
      <w:r>
        <w:rPr>
          <w:rFonts w:ascii="Calligraph421 BT" w:hAnsi="Calligraph421 BT" w:cs="Calligraph421 BT"/>
        </w:rPr>
        <w:t xml:space="preserve">I started chanting mantras in about 1971, just before my first attempts at composition. This powerful practice is central to my spiritual life, and inspires much of my music, both instrumental and vocal. For some time I have intended to write a large work based on my experiences with personal chanting, as well as </w:t>
      </w:r>
      <w:proofErr w:type="spellStart"/>
      <w:r>
        <w:rPr>
          <w:rFonts w:ascii="Calligraph421 BT" w:hAnsi="Calligraph421 BT" w:cs="Calligraph421 BT"/>
        </w:rPr>
        <w:t>sankirtan</w:t>
      </w:r>
      <w:proofErr w:type="spellEnd"/>
      <w:r>
        <w:rPr>
          <w:rFonts w:ascii="Calligraph421 BT" w:hAnsi="Calligraph421 BT" w:cs="Calligraph421 BT"/>
        </w:rPr>
        <w:t xml:space="preserve"> (congregational chanting), but wanted to wait until I had experience and opportunities for possible performance.</w:t>
      </w:r>
    </w:p>
    <w:p w14:paraId="4E23FBE0" w14:textId="77777777" w:rsidR="001C71F8" w:rsidRDefault="001C71F8">
      <w:pPr>
        <w:jc w:val="both"/>
        <w:rPr>
          <w:rFonts w:ascii="Calligraph421 BT" w:hAnsi="Calligraph421 BT" w:cs="Calligraph421 BT"/>
        </w:rPr>
      </w:pPr>
      <w:r>
        <w:rPr>
          <w:rFonts w:ascii="Calligraph421 BT" w:hAnsi="Calligraph421 BT" w:cs="Calligraph421 BT"/>
        </w:rPr>
        <w:tab/>
        <w:t>My own attention span is rather long, and I enjoy many classical compositions lasting well over an hour. However our modern times, and performance realities, dictate more modest lengths. The three movements of this cantata could be augmented in the future should more length be acceptable; or, maybe I’ll write another to use for a double Bill.</w:t>
      </w:r>
    </w:p>
    <w:p w14:paraId="5582B1BE" w14:textId="77777777" w:rsidR="001C71F8" w:rsidRDefault="001C71F8">
      <w:pPr>
        <w:jc w:val="both"/>
        <w:rPr>
          <w:rFonts w:ascii="Calligraph421 BT" w:hAnsi="Calligraph421 BT" w:cs="Calligraph421 BT"/>
        </w:rPr>
      </w:pPr>
      <w:r>
        <w:rPr>
          <w:rFonts w:ascii="Calligraph421 BT" w:hAnsi="Calligraph421 BT" w:cs="Calligraph421 BT"/>
        </w:rPr>
        <w:tab/>
        <w:t xml:space="preserve">The first movement, </w:t>
      </w:r>
      <w:r>
        <w:rPr>
          <w:rFonts w:ascii="Calligraph421 BT" w:hAnsi="Calligraph421 BT" w:cs="Calligraph421 BT"/>
          <w:b/>
        </w:rPr>
        <w:t>Om Jaya Jagadish Hare</w:t>
      </w:r>
      <w:r>
        <w:rPr>
          <w:rFonts w:ascii="Calligraph421 BT" w:hAnsi="Calligraph421 BT" w:cs="Calligraph421 BT"/>
        </w:rPr>
        <w:t xml:space="preserve">, uses the text to the </w:t>
      </w:r>
      <w:r>
        <w:rPr>
          <w:rFonts w:ascii="Calligraph421 BT" w:hAnsi="Calligraph421 BT" w:cs="Calligraph421 BT"/>
          <w:i/>
        </w:rPr>
        <w:t>Universal Aarti</w:t>
      </w:r>
      <w:r>
        <w:rPr>
          <w:rFonts w:ascii="Calligraph421 BT" w:hAnsi="Calligraph421 BT" w:cs="Calligraph421 BT"/>
        </w:rPr>
        <w:t xml:space="preserve">. In Hinduism, Aarti is a short ceremony in reverence to a deity or guru with a sung prayer and lighted lamps of clarified butter. </w:t>
      </w:r>
    </w:p>
    <w:p w14:paraId="11E9990C" w14:textId="77777777" w:rsidR="001C71F8" w:rsidRDefault="001C71F8">
      <w:pPr>
        <w:jc w:val="both"/>
        <w:rPr>
          <w:rFonts w:ascii="Calligraph421 BT" w:hAnsi="Calligraph421 BT" w:cs="Calligraph421 BT"/>
        </w:rPr>
      </w:pPr>
      <w:r>
        <w:rPr>
          <w:rFonts w:ascii="Calligraph421 BT" w:hAnsi="Calligraph421 BT" w:cs="Calligraph421 BT"/>
        </w:rPr>
        <w:tab/>
        <w:t xml:space="preserve">The second movement uses the simple mantra </w:t>
      </w:r>
      <w:r>
        <w:rPr>
          <w:rFonts w:ascii="Calligraph421 BT" w:hAnsi="Calligraph421 BT" w:cs="Calligraph421 BT"/>
          <w:b/>
        </w:rPr>
        <w:t xml:space="preserve">Sri Ram Jai Ram Jai </w:t>
      </w:r>
      <w:proofErr w:type="spellStart"/>
      <w:r>
        <w:rPr>
          <w:rFonts w:ascii="Calligraph421 BT" w:hAnsi="Calligraph421 BT" w:cs="Calligraph421 BT"/>
          <w:b/>
        </w:rPr>
        <w:t>Jai</w:t>
      </w:r>
      <w:proofErr w:type="spellEnd"/>
      <w:r>
        <w:rPr>
          <w:rFonts w:ascii="Calligraph421 BT" w:hAnsi="Calligraph421 BT" w:cs="Calligraph421 BT"/>
          <w:b/>
        </w:rPr>
        <w:t xml:space="preserve"> Ram, </w:t>
      </w:r>
      <w:r>
        <w:rPr>
          <w:rFonts w:ascii="Calligraph421 BT" w:hAnsi="Calligraph421 BT" w:cs="Calligraph421 BT"/>
        </w:rPr>
        <w:t xml:space="preserve">pronounced </w:t>
      </w:r>
      <w:r>
        <w:rPr>
          <w:rFonts w:ascii="Calligraph421 BT" w:hAnsi="Calligraph421 BT" w:cs="Calligraph421 BT"/>
          <w:i/>
        </w:rPr>
        <w:t xml:space="preserve">Shree Raam, Jay… </w:t>
      </w:r>
      <w:r>
        <w:rPr>
          <w:rFonts w:ascii="Calligraph421 BT" w:hAnsi="Calligraph421 BT" w:cs="Calligraph421 BT"/>
        </w:rPr>
        <w:t>It means “Honored (or Radiant) Rama, Victorious Rama.” The double “aa” is as in “father”.</w:t>
      </w:r>
    </w:p>
    <w:p w14:paraId="49A11EBA" w14:textId="77777777" w:rsidR="001C71F8" w:rsidRDefault="001C71F8">
      <w:pPr>
        <w:jc w:val="both"/>
        <w:rPr>
          <w:rFonts w:ascii="Calligraph421 BT" w:hAnsi="Calligraph421 BT" w:cs="Calligraph421 BT"/>
        </w:rPr>
      </w:pPr>
      <w:r>
        <w:rPr>
          <w:rFonts w:ascii="Calligraph421 BT" w:hAnsi="Calligraph421 BT" w:cs="Calligraph421 BT"/>
        </w:rPr>
        <w:tab/>
        <w:t xml:space="preserve">The third movement is a setting of the </w:t>
      </w:r>
      <w:r>
        <w:rPr>
          <w:rFonts w:ascii="Calligraph421 BT" w:hAnsi="Calligraph421 BT" w:cs="Calligraph421 BT"/>
          <w:b/>
        </w:rPr>
        <w:t>Hanuman Chalisa</w:t>
      </w:r>
      <w:r>
        <w:rPr>
          <w:rFonts w:ascii="Calligraph421 BT" w:hAnsi="Calligraph421 BT" w:cs="Calligraph421 BT"/>
        </w:rPr>
        <w:t>, a poem by Tulsidas in forty verses in praise of Hanuman, the monkey devotee of Sri Rama. This is in the Avadhi dialect of Hindi.</w:t>
      </w:r>
    </w:p>
    <w:p w14:paraId="45249658" w14:textId="77777777" w:rsidR="001C71F8" w:rsidRDefault="001C71F8">
      <w:pPr>
        <w:jc w:val="both"/>
        <w:rPr>
          <w:rFonts w:ascii="Calligraph421 BT" w:hAnsi="Calligraph421 BT" w:cs="Calligraph421 BT"/>
        </w:rPr>
      </w:pPr>
    </w:p>
    <w:p w14:paraId="27A88077" w14:textId="77777777" w:rsidR="001C71F8" w:rsidRDefault="001C71F8">
      <w:pPr>
        <w:jc w:val="both"/>
        <w:rPr>
          <w:rFonts w:ascii="Calligraph421 BT" w:hAnsi="Calligraph421 BT" w:cs="Calligraph421 BT"/>
        </w:rPr>
      </w:pPr>
      <w:r>
        <w:rPr>
          <w:rFonts w:ascii="Calligraph421 BT" w:hAnsi="Calligraph421 BT" w:cs="Calligraph421 BT"/>
          <w:b/>
        </w:rPr>
        <w:t>Performance Notes</w:t>
      </w:r>
    </w:p>
    <w:p w14:paraId="06552E8D" w14:textId="77777777" w:rsidR="001C71F8" w:rsidRDefault="001C71F8">
      <w:pPr>
        <w:jc w:val="both"/>
        <w:rPr>
          <w:rFonts w:ascii="Calligraph421 BT" w:hAnsi="Calligraph421 BT" w:cs="Calligraph421 BT"/>
        </w:rPr>
      </w:pPr>
      <w:r>
        <w:rPr>
          <w:rFonts w:ascii="Calligraph421 BT" w:hAnsi="Calligraph421 BT" w:cs="Calligraph421 BT"/>
        </w:rPr>
        <w:tab/>
        <w:t>I have included a Sanskrit/Hindi pronunciation guide for use with the lyrics printed before the score, which include diacritic marks to ensure complete information on how the words sound when spoken by European scholars. I use an anglicized spelling in the score and vocal part; this simplified pronunciation is appropriate outside of India.</w:t>
      </w:r>
    </w:p>
    <w:p w14:paraId="0CE7781F" w14:textId="647C3F82" w:rsidR="00FB74B8" w:rsidRPr="00DD1238" w:rsidRDefault="00FB74B8" w:rsidP="00FB74B8">
      <w:pPr>
        <w:jc w:val="both"/>
        <w:rPr>
          <w:rFonts w:ascii="Calligraph421 BT" w:hAnsi="Calligraph421 BT" w:cs="Calligraph421 BT"/>
          <w:sz w:val="26"/>
          <w:szCs w:val="26"/>
        </w:rPr>
      </w:pPr>
      <w:r w:rsidRPr="00DD1238">
        <w:rPr>
          <w:rFonts w:ascii="Calligraph421 BT" w:hAnsi="Calligraph421 BT" w:cs="Calligraph421 BT"/>
          <w:sz w:val="26"/>
          <w:szCs w:val="26"/>
        </w:rPr>
        <w:tab/>
        <w:t>In every meter change, except whe</w:t>
      </w:r>
      <w:r w:rsidR="00384A04">
        <w:rPr>
          <w:rFonts w:ascii="Calligraph421 BT" w:hAnsi="Calligraph421 BT" w:cs="Calligraph421 BT"/>
          <w:sz w:val="26"/>
          <w:szCs w:val="26"/>
        </w:rPr>
        <w:t>n</w:t>
      </w:r>
      <w:r w:rsidRPr="00DD1238">
        <w:rPr>
          <w:rFonts w:ascii="Calligraph421 BT" w:hAnsi="Calligraph421 BT" w:cs="Calligraph421 BT"/>
          <w:sz w:val="26"/>
          <w:szCs w:val="26"/>
        </w:rPr>
        <w:t xml:space="preserve"> indicated otherwise, the duration of notes remain</w:t>
      </w:r>
      <w:r w:rsidR="00384A04">
        <w:rPr>
          <w:rFonts w:ascii="Calligraph421 BT" w:hAnsi="Calligraph421 BT" w:cs="Calligraph421 BT"/>
          <w:sz w:val="26"/>
          <w:szCs w:val="26"/>
        </w:rPr>
        <w:t>s</w:t>
      </w:r>
      <w:r w:rsidRPr="00DD1238">
        <w:rPr>
          <w:rFonts w:ascii="Calligraph421 BT" w:hAnsi="Calligraph421 BT" w:cs="Calligraph421 BT"/>
          <w:sz w:val="26"/>
          <w:szCs w:val="26"/>
        </w:rPr>
        <w:t xml:space="preserve"> the same. </w:t>
      </w:r>
    </w:p>
    <w:p w14:paraId="26F7E6C6" w14:textId="301D0F6F" w:rsidR="001C71F8" w:rsidRDefault="001C71F8">
      <w:pPr>
        <w:jc w:val="both"/>
        <w:rPr>
          <w:rFonts w:ascii="Calligraph421 BT" w:hAnsi="Calligraph421 BT" w:cs="Calligraph421 BT"/>
        </w:rPr>
      </w:pPr>
      <w:r>
        <w:rPr>
          <w:rFonts w:ascii="Calligraph421 BT" w:hAnsi="Calligraph421 BT" w:cs="Calligraph421 BT"/>
        </w:rPr>
        <w:tab/>
        <w:t xml:space="preserve">It is characteristic of </w:t>
      </w:r>
      <w:proofErr w:type="spellStart"/>
      <w:r>
        <w:rPr>
          <w:rFonts w:ascii="Calligraph421 BT" w:hAnsi="Calligraph421 BT" w:cs="Calligraph421 BT"/>
        </w:rPr>
        <w:t>sankirtan</w:t>
      </w:r>
      <w:proofErr w:type="spellEnd"/>
      <w:r>
        <w:rPr>
          <w:rFonts w:ascii="Calligraph421 BT" w:hAnsi="Calligraph421 BT" w:cs="Calligraph421 BT"/>
        </w:rPr>
        <w:t xml:space="preserve"> to keep things simple. I have limited the chorus to SATB, with one very brief exception in the </w:t>
      </w:r>
      <w:r>
        <w:rPr>
          <w:rFonts w:ascii="Calligraph421 BT" w:hAnsi="Calligraph421 BT" w:cs="Calligraph421 BT"/>
          <w:b/>
        </w:rPr>
        <w:t xml:space="preserve">Hanuman Chalisa </w:t>
      </w:r>
      <w:r>
        <w:rPr>
          <w:rFonts w:ascii="Calligraph421 BT" w:hAnsi="Calligraph421 BT" w:cs="Calligraph421 BT"/>
        </w:rPr>
        <w:t>where each voice splits in two (mm. 281-284). In the absence of choral forces, four singers could use amplification. For this case at the split, the upper three voices should take the upper part and the bass should sing the lower part. In any appropriate passage, the section can be replaced by a soloist at the discretion of the choral director. The current pattern of solo passages is as suggested by Rodney Wynkoop, conductor of the premiere performance</w:t>
      </w:r>
      <w:r w:rsidR="00FB74B8">
        <w:rPr>
          <w:rFonts w:ascii="Calligraph421 BT" w:hAnsi="Calligraph421 BT" w:cs="Calligraph421 BT"/>
        </w:rPr>
        <w:t xml:space="preserve"> </w:t>
      </w:r>
      <w:r w:rsidR="005D71C6">
        <w:rPr>
          <w:rFonts w:ascii="Calligraph421 BT" w:hAnsi="Calligraph421 BT" w:cs="Calligraph421 BT"/>
        </w:rPr>
        <w:t xml:space="preserve">(using reduced forces) </w:t>
      </w:r>
      <w:r w:rsidR="00FB74B8">
        <w:rPr>
          <w:rFonts w:ascii="Calligraph421 BT" w:hAnsi="Calligraph421 BT" w:cs="Calligraph421 BT"/>
        </w:rPr>
        <w:t>on October 21, 2012</w:t>
      </w:r>
      <w:r>
        <w:rPr>
          <w:rFonts w:ascii="Calligraph421 BT" w:hAnsi="Calligraph421 BT" w:cs="Calligraph421 BT"/>
        </w:rPr>
        <w:t>.</w:t>
      </w:r>
    </w:p>
    <w:p w14:paraId="0F5D0589" w14:textId="03F1C9AF" w:rsidR="001C71F8" w:rsidRDefault="001C71F8">
      <w:pPr>
        <w:jc w:val="both"/>
        <w:rPr>
          <w:rFonts w:ascii="Calligraph421 BT" w:hAnsi="Calligraph421 BT" w:cs="Calligraph421 BT"/>
        </w:rPr>
      </w:pPr>
      <w:r>
        <w:rPr>
          <w:rFonts w:ascii="Calligraph421 BT" w:hAnsi="Calligraph421 BT" w:cs="Calligraph421 BT"/>
        </w:rPr>
        <w:tab/>
      </w:r>
      <w:r w:rsidR="00384A04">
        <w:rPr>
          <w:rFonts w:ascii="Calligraph421 BT" w:hAnsi="Calligraph421 BT" w:cs="Calligraph421 BT"/>
        </w:rPr>
        <w:t>Instrumentation is; winds in pairs (flute 2 doubles piccolo), 4 horns, 2 trumpets, 2 trombones, bass trombone, tuba, timpani, SATB chorus, and strings.</w:t>
      </w:r>
    </w:p>
    <w:p w14:paraId="7EAA16CF" w14:textId="77777777" w:rsidR="001C71F8" w:rsidRDefault="001C71F8">
      <w:pPr>
        <w:jc w:val="both"/>
        <w:rPr>
          <w:rFonts w:ascii="Calligraph421 BT" w:hAnsi="Calligraph421 BT" w:cs="Calligraph421 BT"/>
        </w:rPr>
      </w:pPr>
      <w:r>
        <w:rPr>
          <w:rFonts w:ascii="Calligraph421 BT" w:hAnsi="Calligraph421 BT" w:cs="Calligraph421 BT"/>
        </w:rPr>
        <w:tab/>
        <w:t>The double bass part has excursions below low E. In all my orchestral scores, I write notes down to low C with the same notes included an octave higher in case the bassist does not have an extension or fifth string. It is important for this piece that some basses can play the lower notes.</w:t>
      </w:r>
    </w:p>
    <w:p w14:paraId="5E39EC52" w14:textId="77777777" w:rsidR="00FB74B8" w:rsidRDefault="00FB74B8">
      <w:pPr>
        <w:jc w:val="both"/>
        <w:rPr>
          <w:rFonts w:ascii="Calligraph421 BT" w:hAnsi="Calligraph421 BT" w:cs="Calligraph421 BT"/>
          <w:sz w:val="32"/>
          <w:szCs w:val="32"/>
        </w:rPr>
      </w:pPr>
    </w:p>
    <w:p w14:paraId="6F2BFFFF" w14:textId="3CB966EA" w:rsidR="001C71F8" w:rsidRPr="00FB74B8" w:rsidRDefault="001C71F8">
      <w:pPr>
        <w:jc w:val="center"/>
        <w:rPr>
          <w:rFonts w:ascii="Calligraph421 BT" w:hAnsi="Calligraph421 BT" w:cs="Calligraph421 BT"/>
          <w:sz w:val="28"/>
          <w:szCs w:val="28"/>
        </w:rPr>
      </w:pPr>
      <w:r w:rsidRPr="00FB74B8">
        <w:rPr>
          <w:rFonts w:ascii="Calligraph421 BT" w:hAnsi="Calligraph421 BT" w:cs="Calligraph421 BT"/>
          <w:sz w:val="28"/>
          <w:szCs w:val="28"/>
        </w:rPr>
        <w:t xml:space="preserve">Publisher Parrish Press   </w:t>
      </w:r>
      <w:r w:rsidR="00384A04">
        <w:rPr>
          <w:rFonts w:ascii="Calligraph421 BT" w:hAnsi="Calligraph421 BT" w:cs="Calligraph421 BT"/>
          <w:sz w:val="28"/>
          <w:szCs w:val="28"/>
        </w:rPr>
        <w:t>Garner</w:t>
      </w:r>
      <w:r w:rsidRPr="00FB74B8">
        <w:rPr>
          <w:rFonts w:ascii="Calligraph421 BT" w:hAnsi="Calligraph421 BT" w:cs="Calligraph421 BT"/>
          <w:sz w:val="28"/>
          <w:szCs w:val="28"/>
        </w:rPr>
        <w:t xml:space="preserve"> NC   </w:t>
      </w:r>
      <w:r w:rsidR="00384A04">
        <w:rPr>
          <w:rFonts w:ascii="Calligraph421 BT" w:hAnsi="Calligraph421 BT" w:cs="Calligraph421 BT"/>
          <w:sz w:val="28"/>
          <w:szCs w:val="28"/>
        </w:rPr>
        <w:t>Third</w:t>
      </w:r>
      <w:r w:rsidRPr="00FB74B8">
        <w:rPr>
          <w:rFonts w:ascii="Calligraph421 BT" w:hAnsi="Calligraph421 BT" w:cs="Calligraph421 BT"/>
          <w:sz w:val="28"/>
          <w:szCs w:val="28"/>
        </w:rPr>
        <w:t xml:space="preserve">  Ed</w:t>
      </w:r>
      <w:r w:rsidR="00384A04">
        <w:rPr>
          <w:rFonts w:ascii="Calligraph421 BT" w:hAnsi="Calligraph421 BT" w:cs="Calligraph421 BT"/>
          <w:sz w:val="28"/>
          <w:szCs w:val="28"/>
        </w:rPr>
        <w:t>ition</w:t>
      </w:r>
      <w:r w:rsidRPr="00FB74B8">
        <w:rPr>
          <w:rFonts w:ascii="Calligraph421 BT" w:hAnsi="Calligraph421 BT" w:cs="Calligraph421 BT"/>
          <w:sz w:val="28"/>
          <w:szCs w:val="28"/>
        </w:rPr>
        <w:t xml:space="preserve">  </w:t>
      </w:r>
      <w:r w:rsidR="00384A04">
        <w:rPr>
          <w:rFonts w:ascii="Calligraph421 BT" w:hAnsi="Calligraph421 BT" w:cs="Calligraph421 BT"/>
          <w:sz w:val="28"/>
          <w:szCs w:val="28"/>
        </w:rPr>
        <w:t>December 2024</w:t>
      </w:r>
    </w:p>
    <w:p w14:paraId="0608BD4C" w14:textId="77777777" w:rsidR="001C71F8" w:rsidRDefault="001C71F8">
      <w:pPr>
        <w:jc w:val="center"/>
      </w:pPr>
      <w:r w:rsidRPr="00FB74B8">
        <w:rPr>
          <w:rFonts w:ascii="Calligraph421 BT" w:hAnsi="Calligraph421 BT" w:cs="Calligraph421 BT"/>
          <w:sz w:val="28"/>
          <w:szCs w:val="28"/>
        </w:rPr>
        <w:t xml:space="preserve">     billrobinsonmusic.com</w:t>
      </w:r>
      <w:r>
        <w:rPr>
          <w:rFonts w:ascii="Calligraph421 BT" w:hAnsi="Calligraph421 BT" w:cs="Calligraph421 BT"/>
        </w:rPr>
        <w:tab/>
      </w:r>
    </w:p>
    <w:sectPr w:rsidR="001C71F8">
      <w:pgSz w:w="12240" w:h="20160"/>
      <w:pgMar w:top="10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ligraph421 BT">
    <w:panose1 w:val="03060702050402020204"/>
    <w:charset w:val="00"/>
    <w:family w:val="script"/>
    <w:pitch w:val="variable"/>
    <w:sig w:usb0="800000AF" w:usb1="1000204A"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B8"/>
    <w:rsid w:val="00084FF5"/>
    <w:rsid w:val="001C71F8"/>
    <w:rsid w:val="00261C6D"/>
    <w:rsid w:val="00384A04"/>
    <w:rsid w:val="005D71C6"/>
    <w:rsid w:val="00A9367C"/>
    <w:rsid w:val="00FB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2B7EB53"/>
  <w15:chartTrackingRefBased/>
  <w15:docId w15:val="{55F90050-FA3D-4655-A0F0-B0478DA6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Aditya Hridayam</vt:lpstr>
    </vt:vector>
  </TitlesOfParts>
  <Company>NCSU</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Aditya Hridayam</dc:title>
  <dc:subject/>
  <dc:creator>Bill Robinson</dc:creator>
  <cp:keywords/>
  <cp:lastModifiedBy>William R. Robinson</cp:lastModifiedBy>
  <cp:revision>5</cp:revision>
  <cp:lastPrinted>2024-12-10T22:55:00Z</cp:lastPrinted>
  <dcterms:created xsi:type="dcterms:W3CDTF">2024-12-10T22:50:00Z</dcterms:created>
  <dcterms:modified xsi:type="dcterms:W3CDTF">2024-12-12T17:49:00Z</dcterms:modified>
</cp:coreProperties>
</file>